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خدا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ایجاد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بازار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بهینه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سازی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مصرف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انرژی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متنوع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سازی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سبد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تولید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برق</w:t>
      </w:r>
      <w:r w:rsidDel="00000000" w:rsidR="00000000" w:rsidRPr="00000000">
        <w:rPr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اولویت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های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صنعت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برق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کشور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است</w:t>
      </w:r>
    </w:p>
    <w:p w:rsidR="00000000" w:rsidDel="00000000" w:rsidP="00000000" w:rsidRDefault="00000000" w:rsidRPr="00000000" w14:paraId="0000000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مقدمه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زیرساخت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1402،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93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، 79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مربوط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حرارتی</w:t>
      </w:r>
      <w:r w:rsidDel="00000000" w:rsidR="00000000" w:rsidRPr="00000000">
        <w:rPr>
          <w:sz w:val="28"/>
          <w:szCs w:val="28"/>
          <w:rtl w:val="1"/>
        </w:rPr>
        <w:t xml:space="preserve">، 12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برقابی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1402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معادل</w:t>
      </w:r>
      <w:r w:rsidDel="00000000" w:rsidR="00000000" w:rsidRPr="00000000">
        <w:rPr>
          <w:sz w:val="28"/>
          <w:szCs w:val="28"/>
          <w:rtl w:val="1"/>
        </w:rPr>
        <w:t xml:space="preserve"> 333 </w:t>
      </w:r>
      <w:r w:rsidDel="00000000" w:rsidR="00000000" w:rsidRPr="00000000">
        <w:rPr>
          <w:sz w:val="28"/>
          <w:szCs w:val="28"/>
          <w:rtl w:val="1"/>
        </w:rPr>
        <w:t xml:space="preserve">میلیارد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رشد</w:t>
      </w:r>
      <w:r w:rsidDel="00000000" w:rsidR="00000000" w:rsidRPr="00000000">
        <w:rPr>
          <w:sz w:val="28"/>
          <w:szCs w:val="28"/>
          <w:rtl w:val="1"/>
        </w:rPr>
        <w:t xml:space="preserve"> 5 </w:t>
      </w:r>
      <w:r w:rsidDel="00000000" w:rsidR="00000000" w:rsidRPr="00000000">
        <w:rPr>
          <w:sz w:val="28"/>
          <w:szCs w:val="28"/>
          <w:rtl w:val="1"/>
        </w:rPr>
        <w:t xml:space="preserve">درصدی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معادل</w:t>
      </w:r>
      <w:r w:rsidDel="00000000" w:rsidR="00000000" w:rsidRPr="00000000">
        <w:rPr>
          <w:sz w:val="28"/>
          <w:szCs w:val="28"/>
          <w:rtl w:val="1"/>
        </w:rPr>
        <w:t xml:space="preserve"> 16 </w:t>
      </w:r>
      <w:r w:rsidDel="00000000" w:rsidR="00000000" w:rsidRPr="00000000">
        <w:rPr>
          <w:sz w:val="28"/>
          <w:szCs w:val="28"/>
          <w:rtl w:val="1"/>
        </w:rPr>
        <w:t xml:space="preserve">میلیارد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1401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121 </w:t>
      </w:r>
      <w:r w:rsidDel="00000000" w:rsidR="00000000" w:rsidRPr="00000000">
        <w:rPr>
          <w:sz w:val="28"/>
          <w:szCs w:val="28"/>
          <w:rtl w:val="1"/>
        </w:rPr>
        <w:t xml:space="preserve">میلیارد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36 </w:t>
      </w:r>
      <w:r w:rsidDel="00000000" w:rsidR="00000000" w:rsidRPr="00000000">
        <w:rPr>
          <w:sz w:val="28"/>
          <w:szCs w:val="28"/>
          <w:rtl w:val="1"/>
        </w:rPr>
        <w:t xml:space="preserve">درصدی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105 </w:t>
      </w:r>
      <w:r w:rsidDel="00000000" w:rsidR="00000000" w:rsidRPr="00000000">
        <w:rPr>
          <w:sz w:val="28"/>
          <w:szCs w:val="28"/>
          <w:rtl w:val="1"/>
        </w:rPr>
        <w:t xml:space="preserve">میلیارد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31 </w:t>
      </w:r>
      <w:r w:rsidDel="00000000" w:rsidR="00000000" w:rsidRPr="00000000">
        <w:rPr>
          <w:sz w:val="28"/>
          <w:szCs w:val="28"/>
          <w:rtl w:val="1"/>
        </w:rPr>
        <w:t xml:space="preserve">درصدی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کشاورزی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47 </w:t>
      </w:r>
      <w:r w:rsidDel="00000000" w:rsidR="00000000" w:rsidRPr="00000000">
        <w:rPr>
          <w:sz w:val="28"/>
          <w:szCs w:val="28"/>
          <w:rtl w:val="1"/>
        </w:rPr>
        <w:t xml:space="preserve">میلیارد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14 </w:t>
      </w:r>
      <w:r w:rsidDel="00000000" w:rsidR="00000000" w:rsidRPr="00000000">
        <w:rPr>
          <w:sz w:val="28"/>
          <w:szCs w:val="28"/>
          <w:rtl w:val="1"/>
        </w:rPr>
        <w:t xml:space="preserve">درصدی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وضعیت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ناترازی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کشور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روستاهای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100 </w:t>
      </w:r>
      <w:r w:rsidDel="00000000" w:rsidR="00000000" w:rsidRPr="00000000">
        <w:rPr>
          <w:sz w:val="28"/>
          <w:szCs w:val="28"/>
          <w:rtl w:val="1"/>
        </w:rPr>
        <w:t xml:space="preserve">درصد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ملاحظه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دستاوردهای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جمهوری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1402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8/5 </w:t>
      </w:r>
      <w:r w:rsidDel="00000000" w:rsidR="00000000" w:rsidRPr="00000000">
        <w:rPr>
          <w:sz w:val="28"/>
          <w:szCs w:val="28"/>
          <w:rtl w:val="1"/>
        </w:rPr>
        <w:t xml:space="preserve">درصد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74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1/2 </w:t>
      </w:r>
      <w:r w:rsidDel="00000000" w:rsidR="00000000" w:rsidRPr="00000000">
        <w:rPr>
          <w:sz w:val="28"/>
          <w:szCs w:val="28"/>
          <w:rtl w:val="1"/>
        </w:rPr>
        <w:t xml:space="preserve">درصد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تأمین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1402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12,400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1401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2,700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یابد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کشاورزی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مقطعی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نماید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اگرچه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تأمین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1402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 5/4 </w:t>
      </w:r>
      <w:r w:rsidDel="00000000" w:rsidR="00000000" w:rsidRPr="00000000">
        <w:rPr>
          <w:sz w:val="28"/>
          <w:szCs w:val="28"/>
          <w:rtl w:val="1"/>
        </w:rPr>
        <w:t xml:space="preserve">درصد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تأمین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اولویت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اقدامات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اعطای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پاداش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جویی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‌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اقدام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جابجایی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ارزیابی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اقدامات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ذکرشده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12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مگاواتی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مستلزم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اقدامات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آسیب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شناسی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صنعت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کشور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برشمرد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اقتصاد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معیوب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صنعت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انباشت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وزارت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1401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کیلووات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2,500 </w:t>
      </w:r>
      <w:r w:rsidDel="00000000" w:rsidR="00000000" w:rsidRPr="00000000">
        <w:rPr>
          <w:sz w:val="28"/>
          <w:szCs w:val="28"/>
          <w:rtl w:val="1"/>
        </w:rPr>
        <w:t xml:space="preserve">ریال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3,700 </w:t>
      </w:r>
      <w:r w:rsidDel="00000000" w:rsidR="00000000" w:rsidRPr="00000000">
        <w:rPr>
          <w:sz w:val="28"/>
          <w:szCs w:val="28"/>
          <w:rtl w:val="1"/>
        </w:rPr>
        <w:t xml:space="preserve">ریال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انباشته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شرکت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تابعه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100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میلیارد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علت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نپرداختن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نيروگاه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تمایل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سرمايه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تنوع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سبد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تولید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غیرفسیلی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برقابی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حدود</w:t>
      </w:r>
      <w:r w:rsidDel="00000000" w:rsidR="00000000" w:rsidRPr="00000000">
        <w:rPr>
          <w:sz w:val="28"/>
          <w:szCs w:val="28"/>
          <w:rtl w:val="1"/>
        </w:rPr>
        <w:t xml:space="preserve"> 5/7 </w:t>
      </w:r>
      <w:r w:rsidDel="00000000" w:rsidR="00000000" w:rsidRPr="00000000">
        <w:rPr>
          <w:sz w:val="28"/>
          <w:szCs w:val="28"/>
          <w:rtl w:val="1"/>
        </w:rPr>
        <w:t xml:space="preserve">درصد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توجه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ناترازی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رو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گسترش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میان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تولید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مصرف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گاز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طبیعی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خصوصا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ماه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سرد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سال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حتی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درصورتی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سرمایه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مورد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نیاز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احداث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نیروگاه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حرارتی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تأمین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تأمین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سوخت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نیروگاه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حرارتی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جدید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چالش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جدی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مواجه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خواهد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بود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سال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1402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حدود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19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درصد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سوخت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نیروگاه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حرارتی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کشور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d0d0d"/>
          <w:sz w:val="28"/>
          <w:szCs w:val="28"/>
          <w:rtl w:val="1"/>
        </w:rPr>
        <w:t xml:space="preserve">سوخت</w:t>
      </w:r>
      <w:r w:rsidDel="00000000" w:rsidR="00000000" w:rsidRPr="00000000">
        <w:rPr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d0d0d"/>
          <w:sz w:val="28"/>
          <w:szCs w:val="28"/>
          <w:rtl w:val="1"/>
        </w:rPr>
        <w:t xml:space="preserve">مایع</w:t>
      </w:r>
      <w:r w:rsidDel="00000000" w:rsidR="00000000" w:rsidRPr="00000000">
        <w:rPr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تشکیل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داده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d0d0d"/>
          <w:sz w:val="28"/>
          <w:szCs w:val="28"/>
          <w:rtl w:val="1"/>
        </w:rPr>
        <w:t xml:space="preserve">است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مصرف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تولید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برق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زیان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اقتصادی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زیست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محیطی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همراه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بنابراین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توجه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هرگونه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ظرفیتی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تبدیل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نیروگاه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گازی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سیکل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ترکیبی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توسعه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نیروگاه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هسته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ای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رشد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آمارهای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10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سالانه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درصد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بیانگر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لزوم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اولویت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جویی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مشخص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قوانین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مرتبط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حوزه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چالش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قوانین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«</w:t>
      </w:r>
      <w:r w:rsidDel="00000000" w:rsidR="00000000" w:rsidRPr="00000000">
        <w:rPr>
          <w:sz w:val="28"/>
          <w:szCs w:val="28"/>
          <w:rtl w:val="1"/>
        </w:rPr>
        <w:t xml:space="preserve">مانع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» </w:t>
      </w:r>
      <w:r w:rsidDel="00000000" w:rsidR="00000000" w:rsidRPr="00000000">
        <w:rPr>
          <w:sz w:val="28"/>
          <w:szCs w:val="28"/>
          <w:rtl w:val="1"/>
        </w:rPr>
        <w:t xml:space="preserve">مصوب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1401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احکام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بهبود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اقتصاد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صنعت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طریق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اصلاح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تعرفه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صنایع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ماده</w:t>
      </w:r>
      <w:r w:rsidDel="00000000" w:rsidR="00000000" w:rsidRPr="00000000">
        <w:rPr>
          <w:sz w:val="28"/>
          <w:szCs w:val="28"/>
          <w:rtl w:val="1"/>
        </w:rPr>
        <w:t xml:space="preserve"> (3)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قراردادهای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ECA</w:t>
      </w:r>
      <w:r w:rsidDel="00000000" w:rsidR="00000000" w:rsidRPr="00000000">
        <w:rPr>
          <w:sz w:val="28"/>
          <w:szCs w:val="28"/>
          <w:rtl w:val="1"/>
        </w:rPr>
        <w:t xml:space="preserve">)،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تضمینی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علاوه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مصوبه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قراردادهای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6,000 </w:t>
      </w:r>
      <w:r w:rsidDel="00000000" w:rsidR="00000000" w:rsidRPr="00000000">
        <w:rPr>
          <w:sz w:val="28"/>
          <w:szCs w:val="28"/>
          <w:rtl w:val="1"/>
        </w:rPr>
        <w:t xml:space="preserve">ريال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تعرفه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فولاد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معادل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قراردادهای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ضرایبی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معادل</w:t>
      </w:r>
      <w:r w:rsidDel="00000000" w:rsidR="00000000" w:rsidRPr="00000000">
        <w:rPr>
          <w:sz w:val="28"/>
          <w:szCs w:val="28"/>
          <w:rtl w:val="1"/>
        </w:rPr>
        <w:t xml:space="preserve"> 1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2/0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مذکور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میانگین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1,000 </w:t>
      </w:r>
      <w:r w:rsidDel="00000000" w:rsidR="00000000" w:rsidRPr="00000000">
        <w:rPr>
          <w:sz w:val="28"/>
          <w:szCs w:val="28"/>
          <w:rtl w:val="1"/>
        </w:rPr>
        <w:t xml:space="preserve">ريال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اصلاح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تعرفه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خانگی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الگوی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افزایش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پلکانی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ماده</w:t>
      </w:r>
      <w:r w:rsidDel="00000000" w:rsidR="00000000" w:rsidRPr="00000000">
        <w:rPr>
          <w:sz w:val="28"/>
          <w:szCs w:val="28"/>
          <w:rtl w:val="1"/>
        </w:rPr>
        <w:t xml:space="preserve"> (6)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الگوی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پلکانی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تکلیف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مخفف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صرفا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الگوی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الگو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پلکانی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یابد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حذف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يارانه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زنجيره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هدفمند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انتهاي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زنجيره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رویکرد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ماده</w:t>
      </w:r>
      <w:r w:rsidDel="00000000" w:rsidR="00000000" w:rsidRPr="00000000">
        <w:rPr>
          <w:sz w:val="28"/>
          <w:szCs w:val="28"/>
          <w:rtl w:val="1"/>
        </w:rPr>
        <w:t xml:space="preserve"> (10)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تدریجی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قیمت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زنجیره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توزیع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زنجیره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اجرا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مؤثری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قاچاق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راندمان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ایجاد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بازار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بهینه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سازی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انرژی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پیشرفت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گواهی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جویی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تکلیف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جویی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ذینفع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مشوق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جویی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ساختارمند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بلندمدت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متنوع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سازی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تولید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تأکید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نیروگاه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هسته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مطابق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پیشرفت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 12,000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3,000 </w:t>
      </w:r>
      <w:r w:rsidDel="00000000" w:rsidR="00000000" w:rsidRPr="00000000">
        <w:rPr>
          <w:sz w:val="28"/>
          <w:szCs w:val="28"/>
          <w:rtl w:val="1"/>
        </w:rPr>
        <w:t xml:space="preserve">مگاوات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اعطای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تکلیف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حائز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اهمیتی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ثانیا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احداث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بندی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پیشنهاد</w:t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مطابق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پیشنهاد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دوازدهم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عمدتا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مبتنی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متمرکز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اقدامات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پیشنهادی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ناترازی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پایدار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ind w:left="2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1. </w:t>
      </w:r>
      <w:r w:rsidDel="00000000" w:rsidR="00000000" w:rsidRPr="00000000">
        <w:rPr>
          <w:sz w:val="28"/>
          <w:szCs w:val="28"/>
          <w:rtl w:val="1"/>
        </w:rPr>
        <w:t xml:space="preserve">اجرای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تکالیف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صادراتی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قیمت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محصولات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صنایع</w:t>
      </w:r>
      <w:r w:rsidDel="00000000" w:rsidR="00000000" w:rsidRPr="00000000">
        <w:rPr>
          <w:sz w:val="28"/>
          <w:szCs w:val="28"/>
          <w:rtl w:val="1"/>
        </w:rPr>
        <w:t xml:space="preserve">؛</w:t>
      </w:r>
    </w:p>
    <w:p w:rsidR="00000000" w:rsidDel="00000000" w:rsidP="00000000" w:rsidRDefault="00000000" w:rsidRPr="00000000" w14:paraId="00000018">
      <w:pPr>
        <w:bidi w:val="1"/>
        <w:ind w:left="2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2. </w:t>
      </w:r>
      <w:r w:rsidDel="00000000" w:rsidR="00000000" w:rsidRPr="00000000">
        <w:rPr>
          <w:sz w:val="28"/>
          <w:szCs w:val="28"/>
          <w:rtl w:val="1"/>
        </w:rPr>
        <w:t xml:space="preserve">اصلاح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واسطه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معاملات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معاملات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غیرمتمرکز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نظیر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قراردادهای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دوجانبه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زنجیره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ماده</w:t>
      </w:r>
      <w:r w:rsidDel="00000000" w:rsidR="00000000" w:rsidRPr="00000000">
        <w:rPr>
          <w:sz w:val="28"/>
          <w:szCs w:val="28"/>
          <w:rtl w:val="1"/>
        </w:rPr>
        <w:t xml:space="preserve"> (10)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)؛</w:t>
      </w:r>
    </w:p>
    <w:p w:rsidR="00000000" w:rsidDel="00000000" w:rsidP="00000000" w:rsidRDefault="00000000" w:rsidRPr="00000000" w14:paraId="00000019">
      <w:pPr>
        <w:bidi w:val="1"/>
        <w:ind w:left="2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3.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ویژه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سوخت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تکمیل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گازی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تجدیدپذیر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)؛</w:t>
      </w:r>
    </w:p>
    <w:p w:rsidR="00000000" w:rsidDel="00000000" w:rsidP="00000000" w:rsidRDefault="00000000" w:rsidRPr="00000000" w14:paraId="0000001A">
      <w:pPr>
        <w:bidi w:val="1"/>
        <w:ind w:left="2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4. </w:t>
      </w:r>
      <w:r w:rsidDel="00000000" w:rsidR="00000000" w:rsidRPr="00000000">
        <w:rPr>
          <w:sz w:val="28"/>
          <w:szCs w:val="28"/>
          <w:rtl w:val="1"/>
        </w:rPr>
        <w:t xml:space="preserve">تسریع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جویی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مجریان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پروژه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تعویض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سرمایشی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پرمصرف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sectPr>
      <w:footerReference r:id="rId6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 Nazan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center"/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bidi w:val="1"/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